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C1" w:rsidRDefault="00DB5F96">
      <w:pPr>
        <w:rPr>
          <w:rFonts w:ascii="Calibri" w:eastAsia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  <w:szCs w:val="36"/>
        </w:rPr>
        <w:t xml:space="preserve">Why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Oracy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-177799</wp:posOffset>
                </wp:positionV>
                <wp:extent cx="1668071" cy="1891487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6727" y="2839019"/>
                          <a:ext cx="1658546" cy="188196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FC1" w:rsidRDefault="00DB5F9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A language gap exists.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C00000"/>
                                <w:sz w:val="22"/>
                              </w:rPr>
                              <w:t>75%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who live in poverty arrive at school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C00000"/>
                                <w:sz w:val="20"/>
                              </w:rPr>
                              <w:t xml:space="preserve">below average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in language. Students from disadvantaged backgrounds are exposed to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C00000"/>
                                <w:sz w:val="20"/>
                              </w:rPr>
                              <w:t xml:space="preserve">30 million fewer words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than their higher income peers before age 3 (Cambridge University).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-177799</wp:posOffset>
                </wp:positionV>
                <wp:extent cx="1668071" cy="1891487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071" cy="18914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3FC1" w:rsidRDefault="00DB5F96">
      <w:pPr>
        <w:ind w:right="22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teachers, during this academic year, will be developing further their skills to teach effective </w:t>
      </w:r>
      <w:proofErr w:type="spellStart"/>
      <w:r>
        <w:rPr>
          <w:rFonts w:ascii="Calibri" w:eastAsia="Calibri" w:hAnsi="Calibri" w:cs="Calibri"/>
        </w:rPr>
        <w:t>Oracy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Oracy</w:t>
      </w:r>
      <w:proofErr w:type="spellEnd"/>
      <w:r>
        <w:rPr>
          <w:rFonts w:ascii="Calibri" w:eastAsia="Calibri" w:hAnsi="Calibri" w:cs="Calibri"/>
        </w:rPr>
        <w:t xml:space="preserve"> is the ability to express oneself effectively through spoken language and plays a crucial role in not only preparing our students for academic </w:t>
      </w:r>
      <w:r>
        <w:rPr>
          <w:rFonts w:ascii="Calibri" w:eastAsia="Calibri" w:hAnsi="Calibri" w:cs="Calibri"/>
        </w:rPr>
        <w:t xml:space="preserve">success, but also equipping them with essential life skills. </w:t>
      </w:r>
      <w:proofErr w:type="spellStart"/>
      <w:r>
        <w:rPr>
          <w:rFonts w:ascii="Calibri" w:eastAsia="Calibri" w:hAnsi="Calibri" w:cs="Calibri"/>
        </w:rPr>
        <w:t>Oracy</w:t>
      </w:r>
      <w:proofErr w:type="spellEnd"/>
      <w:r>
        <w:rPr>
          <w:rFonts w:ascii="Calibri" w:eastAsia="Calibri" w:hAnsi="Calibri" w:cs="Calibri"/>
        </w:rPr>
        <w:t xml:space="preserve"> fosters effective communication, critical thinking and empowerment thus setting the foundation for life-long learning and success in all aspects of life.  </w:t>
      </w:r>
    </w:p>
    <w:p w:rsidR="00043FC1" w:rsidRDefault="00043FC1">
      <w:pPr>
        <w:ind w:right="2233"/>
        <w:rPr>
          <w:rFonts w:ascii="Calibri" w:eastAsia="Calibri" w:hAnsi="Calibri" w:cs="Calibri"/>
        </w:rPr>
      </w:pPr>
    </w:p>
    <w:p w:rsidR="00043FC1" w:rsidRDefault="00DB5F96">
      <w:pPr>
        <w:ind w:right="22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believe effective speech is f</w:t>
      </w:r>
      <w:r>
        <w:rPr>
          <w:rFonts w:ascii="Calibri" w:eastAsia="Calibri" w:hAnsi="Calibri" w:cs="Calibri"/>
        </w:rPr>
        <w:t>undamental in helping our children reach their full potential.  The power of speech is part of the divine skills bestowed on us through God; a manifestation of our unique status as human creations of God. As in Genesis 2-19, when God created humanity, he g</w:t>
      </w:r>
      <w:r>
        <w:rPr>
          <w:rFonts w:ascii="Calibri" w:eastAsia="Calibri" w:hAnsi="Calibri" w:cs="Calibri"/>
        </w:rPr>
        <w:t>ave man the ability to speak and name the animals. The gift of speech is seen as a divine endowment with both practical and spiritual significance. It is not only a means of communication but also a tool for expressing faith, fostering community, and fulfi</w:t>
      </w:r>
      <w:r>
        <w:rPr>
          <w:rFonts w:ascii="Calibri" w:eastAsia="Calibri" w:hAnsi="Calibri" w:cs="Calibri"/>
        </w:rPr>
        <w:t xml:space="preserve">lling God's purposes in the world through: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76200</wp:posOffset>
                </wp:positionV>
                <wp:extent cx="1646245" cy="1019618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640" y="3274954"/>
                          <a:ext cx="1636720" cy="101009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FC1" w:rsidRDefault="00DB5F9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C00000"/>
                                <w:sz w:val="20"/>
                              </w:rPr>
                              <w:t>88%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of employers believe school leavers are unprepared for the world of work: speaking and teamworking skills.</w:t>
                            </w:r>
                          </w:p>
                          <w:p w:rsidR="00043FC1" w:rsidRDefault="00043FC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76200</wp:posOffset>
                </wp:positionV>
                <wp:extent cx="1646245" cy="101961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6245" cy="1019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1193800</wp:posOffset>
                </wp:positionV>
                <wp:extent cx="1646245" cy="1689469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640" y="2940028"/>
                          <a:ext cx="1636720" cy="167994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FC1" w:rsidRDefault="00DB5F96">
                            <w:pPr>
                              <w:spacing w:before="2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There is robust evidence that quality classroom talk has a measurable effect on academic achie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vement</w:t>
                            </w:r>
                          </w:p>
                          <w:p w:rsidR="00043FC1" w:rsidRDefault="00DB5F96">
                            <w:pPr>
                              <w:spacing w:before="2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C00000"/>
                                <w:sz w:val="20"/>
                              </w:rPr>
                              <w:t>…+6 months</w:t>
                            </w:r>
                          </w:p>
                          <w:p w:rsidR="00043FC1" w:rsidRDefault="00DB5F96">
                            <w:pPr>
                              <w:spacing w:before="2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>(Source: EEF)</w:t>
                            </w:r>
                          </w:p>
                          <w:p w:rsidR="00043FC1" w:rsidRDefault="00043FC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1193800</wp:posOffset>
                </wp:positionV>
                <wp:extent cx="1646245" cy="1689469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6245" cy="16894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3FC1" w:rsidRDefault="00043FC1">
      <w:pPr>
        <w:ind w:right="2233"/>
        <w:rPr>
          <w:rFonts w:ascii="Calibri" w:eastAsia="Calibri" w:hAnsi="Calibri" w:cs="Calibri"/>
        </w:rPr>
      </w:pPr>
    </w:p>
    <w:p w:rsidR="00043FC1" w:rsidRDefault="00DB5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233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Communicating with God through prayer and worship. </w:t>
      </w:r>
    </w:p>
    <w:p w:rsidR="00043FC1" w:rsidRDefault="00DB5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233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Evangelizing and sharing the faith and teachings of Jesus Christ. </w:t>
      </w:r>
    </w:p>
    <w:p w:rsidR="00043FC1" w:rsidRDefault="00DB5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233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Upholding our moral responsibility to promote love, righteousness and justice. </w:t>
      </w:r>
    </w:p>
    <w:p w:rsidR="00043FC1" w:rsidRDefault="00DB5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233"/>
        <w:rPr>
          <w:color w:val="000000"/>
        </w:rPr>
      </w:pPr>
      <w:r>
        <w:rPr>
          <w:rFonts w:ascii="Calibri" w:eastAsia="Calibri" w:hAnsi="Calibri" w:cs="Calibri"/>
          <w:color w:val="000000"/>
        </w:rPr>
        <w:t>Being accountable to God for our words and the way we use the gift of speech.</w:t>
      </w:r>
    </w:p>
    <w:p w:rsidR="00043FC1" w:rsidRDefault="00043FC1">
      <w:pPr>
        <w:pBdr>
          <w:top w:val="nil"/>
          <w:left w:val="nil"/>
          <w:bottom w:val="nil"/>
          <w:right w:val="nil"/>
          <w:between w:val="nil"/>
        </w:pBdr>
        <w:ind w:left="720" w:right="2233"/>
        <w:rPr>
          <w:rFonts w:ascii="Calibri" w:eastAsia="Calibri" w:hAnsi="Calibri" w:cs="Calibri"/>
          <w:color w:val="000000"/>
        </w:rPr>
      </w:pPr>
    </w:p>
    <w:p w:rsidR="00043FC1" w:rsidRDefault="00DB5F96">
      <w:pPr>
        <w:ind w:right="10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"…</w:t>
      </w:r>
      <w:r>
        <w:rPr>
          <w:rFonts w:ascii="Calibri" w:eastAsia="Calibri" w:hAnsi="Calibri" w:cs="Calibri"/>
          <w:i/>
          <w:sz w:val="32"/>
          <w:szCs w:val="32"/>
        </w:rPr>
        <w:t>by your words you will be justified, and by your words, you will be condemned." (Matthew 12:37)</w:t>
      </w:r>
    </w:p>
    <w:p w:rsidR="00043FC1" w:rsidRDefault="00043FC1">
      <w:pPr>
        <w:rPr>
          <w:rFonts w:ascii="Calibri" w:eastAsia="Calibri" w:hAnsi="Calibri" w:cs="Calibri"/>
        </w:rPr>
      </w:pPr>
    </w:p>
    <w:p w:rsidR="00043FC1" w:rsidRDefault="00DB5F96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Teaching and Learning</w:t>
      </w:r>
    </w:p>
    <w:p w:rsidR="00043FC1" w:rsidRDefault="00DB5F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year every teacher will be involved in a focused In</w:t>
      </w:r>
      <w:r>
        <w:rPr>
          <w:rFonts w:ascii="Calibri" w:eastAsia="Calibri" w:hAnsi="Calibri" w:cs="Calibri"/>
        </w:rPr>
        <w:t xml:space="preserve">dependent Project Inquiry which follows the stages of our performance development cycle: explore, engage and evaluate. Further information about our performance development can be found here.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https://www.sbch.org.uk/performance-development/</w:t>
        </w:r>
      </w:hyperlink>
      <w:r>
        <w:rPr>
          <w:rFonts w:ascii="Calibri" w:eastAsia="Calibri" w:hAnsi="Calibri" w:cs="Calibri"/>
        </w:rPr>
        <w:t xml:space="preserve"> </w:t>
      </w:r>
    </w:p>
    <w:p w:rsidR="00043FC1" w:rsidRDefault="00043FC1">
      <w:pPr>
        <w:rPr>
          <w:rFonts w:ascii="Calibri" w:eastAsia="Calibri" w:hAnsi="Calibri" w:cs="Calibri"/>
        </w:rPr>
      </w:pPr>
    </w:p>
    <w:p w:rsidR="00043FC1" w:rsidRDefault="00DB5F96">
      <w:pPr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 xml:space="preserve">Teachers will be focusing on a range of </w:t>
      </w:r>
      <w:proofErr w:type="spellStart"/>
      <w:r>
        <w:rPr>
          <w:rFonts w:ascii="Calibri" w:eastAsia="Calibri" w:hAnsi="Calibri" w:cs="Calibri"/>
        </w:rPr>
        <w:t>oracy</w:t>
      </w:r>
      <w:proofErr w:type="spellEnd"/>
      <w:r>
        <w:rPr>
          <w:rFonts w:ascii="Calibri" w:eastAsia="Calibri" w:hAnsi="Calibri" w:cs="Calibri"/>
        </w:rPr>
        <w:t xml:space="preserve"> strategies, ensuring they discover each child’s voice and embed the social and professional skills for talking. </w:t>
      </w:r>
    </w:p>
    <w:sectPr w:rsidR="00043FC1">
      <w:headerReference w:type="default" r:id="rId11"/>
      <w:pgSz w:w="11906" w:h="16838"/>
      <w:pgMar w:top="3600" w:right="1080" w:bottom="1080" w:left="1080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5F96">
      <w:r>
        <w:separator/>
      </w:r>
    </w:p>
  </w:endnote>
  <w:endnote w:type="continuationSeparator" w:id="0">
    <w:p w:rsidR="00000000" w:rsidRDefault="00DB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5F96">
      <w:r>
        <w:separator/>
      </w:r>
    </w:p>
  </w:footnote>
  <w:footnote w:type="continuationSeparator" w:id="0">
    <w:p w:rsidR="00000000" w:rsidRDefault="00DB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FC1" w:rsidRDefault="00DB5F96">
    <w:pPr>
      <w:jc w:val="center"/>
      <w:rPr>
        <w:rFonts w:ascii="Calibri" w:eastAsia="Calibri" w:hAnsi="Calibri" w:cs="Calibri"/>
        <w:b/>
        <w:color w:val="FFFFFF"/>
        <w:sz w:val="40"/>
        <w:szCs w:val="40"/>
      </w:rPr>
    </w:pPr>
    <w:r>
      <w:rPr>
        <w:rFonts w:ascii="Calibri" w:eastAsia="Calibri" w:hAnsi="Calibri" w:cs="Calibri"/>
        <w:b/>
        <w:color w:val="FFFFFF"/>
        <w:sz w:val="40"/>
        <w:szCs w:val="40"/>
      </w:rPr>
      <w:t xml:space="preserve">Our Teaching and Learning Focus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-605865</wp:posOffset>
          </wp:positionH>
          <wp:positionV relativeFrom="paragraph">
            <wp:posOffset>-333247</wp:posOffset>
          </wp:positionV>
          <wp:extent cx="2034524" cy="1426314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4524" cy="14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3FC1" w:rsidRDefault="00DB5F96">
    <w:pPr>
      <w:jc w:val="center"/>
      <w:rPr>
        <w:rFonts w:ascii="Calibri" w:eastAsia="Calibri" w:hAnsi="Calibri" w:cs="Calibri"/>
        <w:color w:val="FFFFFF"/>
        <w:sz w:val="40"/>
        <w:szCs w:val="40"/>
      </w:rPr>
    </w:pPr>
    <w:r>
      <w:rPr>
        <w:rFonts w:ascii="Calibri" w:eastAsia="Calibri" w:hAnsi="Calibri" w:cs="Calibri"/>
        <w:color w:val="FFFFFF"/>
        <w:sz w:val="40"/>
        <w:szCs w:val="40"/>
      </w:rPr>
      <w:t>2023-2024</w:t>
    </w:r>
  </w:p>
  <w:p w:rsidR="00043FC1" w:rsidRDefault="00DB5F96">
    <w:pPr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79107" cy="10711054"/>
              <wp:effectExtent l="0" t="0" r="0" b="0"/>
              <wp:wrapNone/>
              <wp:docPr id="4" name="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1209" y="0"/>
                        <a:ext cx="7569582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2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43FC1" w:rsidRDefault="00043FC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79107" cy="10711054"/>
              <wp:effectExtent b="0" l="0" r="0" t="0"/>
              <wp:wrapNone/>
              <wp:docPr descr="Rectangle" id="4" name="image5.png"/>
              <a:graphic>
                <a:graphicData uri="http://schemas.openxmlformats.org/drawingml/2006/picture">
                  <pic:pic>
                    <pic:nvPicPr>
                      <pic:cNvPr descr="Rectangle"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9107" cy="107110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5B62"/>
    <w:multiLevelType w:val="multilevel"/>
    <w:tmpl w:val="FE2EE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C1"/>
    <w:rsid w:val="00043FC1"/>
    <w:rsid w:val="00D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A2345-760B-41D0-B14C-FEF10D6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bch.org.uk/performance-developme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VSM</cp:lastModifiedBy>
  <cp:revision>2</cp:revision>
  <dcterms:created xsi:type="dcterms:W3CDTF">2023-10-02T12:37:00Z</dcterms:created>
  <dcterms:modified xsi:type="dcterms:W3CDTF">2023-10-02T12:37:00Z</dcterms:modified>
</cp:coreProperties>
</file>